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9"/>
          <w:szCs w:val="39"/>
          <w:lang w:val="en-US" w:eastAsia="zh-CN"/>
        </w:rPr>
        <w:t>遵义市银行业保险业2020年三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9"/>
          <w:szCs w:val="39"/>
          <w:lang w:val="en-US" w:eastAsia="zh-CN"/>
        </w:rPr>
        <w:t>季度披露数据</w:t>
      </w:r>
    </w:p>
    <w:tbl>
      <w:tblPr>
        <w:tblStyle w:val="3"/>
        <w:tblW w:w="9165" w:type="dxa"/>
        <w:jc w:val="center"/>
        <w:tblInd w:w="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4131"/>
        <w:gridCol w:w="4170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525" w:hRule="atLeast"/>
          <w:jc w:val="center"/>
        </w:trPr>
        <w:tc>
          <w:tcPr>
            <w:tcW w:w="4131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70" w:type="dxa"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单位:亿元、%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525" w:hRule="atLeast"/>
          <w:jc w:val="center"/>
        </w:trPr>
        <w:tc>
          <w:tcPr>
            <w:tcW w:w="8301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银行业数据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525" w:hRule="atLeast"/>
          <w:jc w:val="center"/>
        </w:trPr>
        <w:tc>
          <w:tcPr>
            <w:tcW w:w="4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项目</w:t>
            </w:r>
          </w:p>
        </w:tc>
        <w:tc>
          <w:tcPr>
            <w:tcW w:w="4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余额/比率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525" w:hRule="atLeast"/>
          <w:jc w:val="center"/>
        </w:trPr>
        <w:tc>
          <w:tcPr>
            <w:tcW w:w="41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总资产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5594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525" w:hRule="atLeast"/>
          <w:jc w:val="center"/>
        </w:trPr>
        <w:tc>
          <w:tcPr>
            <w:tcW w:w="41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比上年同期增长率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14.27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525" w:hRule="atLeast"/>
          <w:jc w:val="center"/>
        </w:trPr>
        <w:tc>
          <w:tcPr>
            <w:tcW w:w="41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总负债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5394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525" w:hRule="atLeast"/>
          <w:jc w:val="center"/>
        </w:trPr>
        <w:tc>
          <w:tcPr>
            <w:tcW w:w="41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比上年同期增长率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14.83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525" w:hRule="atLeast"/>
          <w:jc w:val="center"/>
        </w:trPr>
        <w:tc>
          <w:tcPr>
            <w:tcW w:w="41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不良贷款余额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525" w:hRule="atLeast"/>
          <w:jc w:val="center"/>
        </w:trPr>
        <w:tc>
          <w:tcPr>
            <w:tcW w:w="41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不良贷款率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525" w:hRule="atLeast"/>
          <w:jc w:val="center"/>
        </w:trPr>
        <w:tc>
          <w:tcPr>
            <w:tcW w:w="8301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保险业数据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525" w:hRule="atLeast"/>
          <w:jc w:val="center"/>
        </w:trPr>
        <w:tc>
          <w:tcPr>
            <w:tcW w:w="4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项目</w:t>
            </w:r>
          </w:p>
        </w:tc>
        <w:tc>
          <w:tcPr>
            <w:tcW w:w="4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本年累计/截至当期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285" w:hRule="atLeast"/>
          <w:jc w:val="center"/>
        </w:trPr>
        <w:tc>
          <w:tcPr>
            <w:tcW w:w="4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原保险保费收入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78.73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285" w:hRule="atLeast"/>
          <w:jc w:val="center"/>
        </w:trPr>
        <w:tc>
          <w:tcPr>
            <w:tcW w:w="4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1、财产险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31.61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285" w:hRule="atLeast"/>
          <w:jc w:val="center"/>
        </w:trPr>
        <w:tc>
          <w:tcPr>
            <w:tcW w:w="4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2、人身险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47.12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285" w:hRule="atLeast"/>
          <w:jc w:val="center"/>
        </w:trPr>
        <w:tc>
          <w:tcPr>
            <w:tcW w:w="4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（1）寿险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31.41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285" w:hRule="atLeast"/>
          <w:jc w:val="center"/>
        </w:trPr>
        <w:tc>
          <w:tcPr>
            <w:tcW w:w="4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（2）健康险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13.08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285" w:hRule="atLeast"/>
          <w:jc w:val="center"/>
        </w:trPr>
        <w:tc>
          <w:tcPr>
            <w:tcW w:w="4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（3）人身意外伤害险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285" w:hRule="atLeast"/>
          <w:jc w:val="center"/>
        </w:trPr>
        <w:tc>
          <w:tcPr>
            <w:tcW w:w="4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保险金额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 xml:space="preserve">52993.02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32" w:type="dxa"/>
          <w:wAfter w:w="432" w:type="dxa"/>
          <w:trHeight w:val="285" w:hRule="atLeast"/>
          <w:jc w:val="center"/>
        </w:trPr>
        <w:tc>
          <w:tcPr>
            <w:tcW w:w="4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原保险赔付支出</w:t>
            </w:r>
          </w:p>
        </w:tc>
        <w:tc>
          <w:tcPr>
            <w:tcW w:w="41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25.59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1、财产险</w:t>
            </w:r>
          </w:p>
        </w:tc>
        <w:tc>
          <w:tcPr>
            <w:tcW w:w="4602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17.43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2、人身险</w:t>
            </w:r>
          </w:p>
        </w:tc>
        <w:tc>
          <w:tcPr>
            <w:tcW w:w="4602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（1）寿险</w:t>
            </w:r>
          </w:p>
        </w:tc>
        <w:tc>
          <w:tcPr>
            <w:tcW w:w="4602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 xml:space="preserve">4.28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（2）健康险</w:t>
            </w:r>
          </w:p>
        </w:tc>
        <w:tc>
          <w:tcPr>
            <w:tcW w:w="4602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 xml:space="preserve">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（3）人身意外伤害险</w:t>
            </w:r>
          </w:p>
        </w:tc>
        <w:tc>
          <w:tcPr>
            <w:tcW w:w="4602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 xml:space="preserve">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  <w:jc w:val="center"/>
        </w:trPr>
        <w:tc>
          <w:tcPr>
            <w:tcW w:w="9165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注：1、银行业数据来源于遵义银保监分局非现场监管信息系统，保险业数据来源于各公司报送的保险数据，未经审计。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9165" w:type="dxa"/>
            <w:gridSpan w:val="4"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2、保险业数据是执行《关于印发&lt;保险合同相关会计处理规定〉的通知》（财会〔2009〕15号）后，各保险公司按照相关口径要求报送的数据。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9165" w:type="dxa"/>
            <w:gridSpan w:val="4"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3、原保险保费收入为按《企业会计准则（2006）》设置的统计指标，指保险企业确认的原保险合同保费收入。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9165" w:type="dxa"/>
            <w:gridSpan w:val="4"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/>
              </w:rPr>
              <w:t>4、原保险赔付支出为按《企业会计准则（2006）》设置的统计指标，指保险企业支付的原保险合同赔付款项。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E8D0F36"/>
    <w:rsid w:val="2E8D0F36"/>
    <w:rsid w:val="4942210F"/>
    <w:rsid w:val="588D6F55"/>
    <w:rsid w:val="7203711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2020-08-03T08:06:00Z</dcterms:created>
  <dc:creator>L.Ruker</dc:creator>
  <cp:lastModifiedBy>李兰</cp:lastModifiedBy>
  <dcterms:modified xsi:type="dcterms:W3CDTF">2020-12-03T08:49:56Z</dcterms:modified>
  <dc:title>遵义市银行业保险业2020年二季度披露数据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