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7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12"/>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2" w:hRule="atLeast"/>
          <w:jc w:val="center"/>
        </w:trPr>
        <w:tc>
          <w:tcPr>
            <w:tcW w:w="7680" w:type="dxa"/>
            <w:gridSpan w:val="2"/>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遵义市银行业2023年二季度披露数据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jc w:val="center"/>
        </w:trPr>
        <w:tc>
          <w:tcPr>
            <w:tcW w:w="3212" w:type="dxa"/>
            <w:shd w:val="clear" w:color="auto" w:fill="auto"/>
            <w:vAlign w:val="center"/>
          </w:tcPr>
          <w:p>
            <w:pPr>
              <w:rPr>
                <w:rFonts w:hint="eastAsia" w:ascii="宋体" w:hAnsi="宋体" w:eastAsia="宋体" w:cs="宋体"/>
                <w:i w:val="0"/>
                <w:color w:val="000000"/>
                <w:sz w:val="24"/>
                <w:szCs w:val="24"/>
                <w:u w:val="none"/>
              </w:rPr>
            </w:pPr>
          </w:p>
        </w:tc>
        <w:tc>
          <w:tcPr>
            <w:tcW w:w="446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余额/比率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总资产</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7301.21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比上年同期增长率</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总负债</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比上年同期增长率</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不良贷款余额</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不良贷款率</w:t>
            </w:r>
          </w:p>
        </w:tc>
        <w:tc>
          <w:tcPr>
            <w:tcW w:w="4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jc w:val="center"/>
        </w:trPr>
        <w:tc>
          <w:tcPr>
            <w:tcW w:w="7680"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注：银行业数据来源于国家金融监督管理总局贵州监管局非现场监管信息系统。</w:t>
            </w:r>
            <w:r>
              <w:rPr>
                <w:rFonts w:hint="eastAsia" w:ascii="宋体" w:hAnsi="宋体" w:eastAsia="宋体" w:cs="宋体"/>
                <w:i w:val="0"/>
                <w:color w:val="000000"/>
                <w:kern w:val="0"/>
                <w:sz w:val="22"/>
                <w:szCs w:val="22"/>
                <w:u w:val="none"/>
                <w:lang w:val="en-US" w:eastAsia="zh-CN" w:bidi="ar"/>
              </w:rPr>
              <w:br w:type="textWrapping"/>
            </w:r>
            <w:bookmarkStart w:id="0" w:name="_GoBack"/>
            <w:bookmarkEnd w:id="0"/>
          </w:p>
        </w:tc>
      </w:tr>
    </w:tbl>
    <w:p>
      <w:pPr>
        <w:rPr>
          <w:rFonts w:hint="eastAsia" w:ascii="宋体" w:hAnsi="宋体" w:eastAsia="宋体" w:cs="宋体"/>
          <w:i w:val="0"/>
          <w:color w:val="000000"/>
          <w:kern w:val="0"/>
          <w:sz w:val="20"/>
          <w:szCs w:val="20"/>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F0E5F"/>
    <w:rsid w:val="05D87961"/>
    <w:rsid w:val="08836AA8"/>
    <w:rsid w:val="08AF0E5F"/>
    <w:rsid w:val="0A110466"/>
    <w:rsid w:val="17904BA2"/>
    <w:rsid w:val="19DE1014"/>
    <w:rsid w:val="1CE81018"/>
    <w:rsid w:val="1E107653"/>
    <w:rsid w:val="1F2E310D"/>
    <w:rsid w:val="217618C2"/>
    <w:rsid w:val="29DE509B"/>
    <w:rsid w:val="2AD06B4C"/>
    <w:rsid w:val="2E611111"/>
    <w:rsid w:val="314C7CC9"/>
    <w:rsid w:val="345913AD"/>
    <w:rsid w:val="3BFC16F8"/>
    <w:rsid w:val="4C0614F1"/>
    <w:rsid w:val="4DCF5998"/>
    <w:rsid w:val="4FC01F4E"/>
    <w:rsid w:val="50B4483A"/>
    <w:rsid w:val="5B1C723F"/>
    <w:rsid w:val="5BC67112"/>
    <w:rsid w:val="60E4696F"/>
    <w:rsid w:val="65EB5E59"/>
    <w:rsid w:val="6D166AD4"/>
    <w:rsid w:val="709A25C2"/>
    <w:rsid w:val="7DC2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2021-05-14T06:37:00Z</dcterms:created>
  <dc:creator>中国银监会</dc:creator>
  <cp:lastModifiedBy>胡金波</cp:lastModifiedBy>
  <cp:lastPrinted>2021-11-17T06:55:00Z</cp:lastPrinted>
  <dcterms:modified xsi:type="dcterms:W3CDTF">2023-08-03T08:34:39Z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