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2"/>
        <w:gridCol w:w="3065"/>
        <w:gridCol w:w="1380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0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银行业数据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单位：亿元、%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余额/比率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总资产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6059.77 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比上年同期增长率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8.33%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总负债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5889.73 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比上年同期增长率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8.87%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不良贷款余额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66.33 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不良贷款率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1.37%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0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保险业数据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本年累计/截止当期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原保费收入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70.79 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1、财产险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28.92 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2、人身险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41.87 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（1）寿险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29.55 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（2）健康险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9.39 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（3）人身意外伤害险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2.93 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保险金额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71518.85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原保费赔付支出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26.55 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1、财产险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19.36 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2、人身险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7.19 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（1）寿险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3.99 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（2）健康险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2.57 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（3）人身意外伤害险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 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注：1、银行业数据来源于遵义银保监分局非现场监管信息系统，保险业数据来源于各公司报送的保险数据，未经审计。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2、保险业数据是执行《关于印发&lt;保险合同相关会计处理规定〉的通知》（财会〔2009〕15号）后，各保险公司按照相关口径要求报送的数据。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3、原保险保费收入为按《企业会计准则（2006）》设置的统计指标，指保险企业确认的原保险合同保费收入。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4、原保险赔付支出为按《企业会计准则（2006）》设置的统计指标，指保险企业支付的原保险合同赔付款项。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5、由于四舍五入原因，可能存在总项与各分项值之和不等的情况。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6、因部分机构正在进行风险处置，行业汇总数据口径暂不包括这部分机构。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F0E5F"/>
    <w:rsid w:val="08AF0E5F"/>
    <w:rsid w:val="314C7CC9"/>
    <w:rsid w:val="34504E24"/>
    <w:rsid w:val="4C0614F1"/>
    <w:rsid w:val="4DCF5998"/>
    <w:rsid w:val="5B1C723F"/>
    <w:rsid w:val="60E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2021-05-14T06:37:00Z</dcterms:created>
  <dc:creator>中国银监会</dc:creator>
  <cp:lastModifiedBy>Administrator</cp:lastModifiedBy>
  <dcterms:modified xsi:type="dcterms:W3CDTF">2021-11-16T01:06:15Z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